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02F6" w14:textId="005EF08B" w:rsidR="00072C1C" w:rsidRPr="0074666D" w:rsidRDefault="0087632F" w:rsidP="00BB6C3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4666D">
        <w:rPr>
          <w:rFonts w:asciiTheme="minorHAnsi" w:hAnsiTheme="minorHAnsi" w:cstheme="minorHAnsi"/>
          <w:b/>
          <w:bCs/>
          <w:sz w:val="28"/>
          <w:szCs w:val="28"/>
        </w:rPr>
        <w:t xml:space="preserve">AVIS DU </w:t>
      </w:r>
      <w:r w:rsidR="00037D58" w:rsidRPr="0074666D">
        <w:rPr>
          <w:rFonts w:asciiTheme="minorHAnsi" w:hAnsiTheme="minorHAnsi" w:cstheme="minorHAnsi"/>
          <w:b/>
          <w:bCs/>
          <w:sz w:val="28"/>
          <w:szCs w:val="28"/>
        </w:rPr>
        <w:t>CSE</w:t>
      </w:r>
      <w:r w:rsidRPr="0074666D">
        <w:rPr>
          <w:rFonts w:asciiTheme="minorHAnsi" w:hAnsiTheme="minorHAnsi" w:cstheme="minorHAnsi"/>
          <w:b/>
          <w:bCs/>
          <w:sz w:val="28"/>
          <w:szCs w:val="28"/>
        </w:rPr>
        <w:t xml:space="preserve"> DE LA CAF DU PAS DE CALAIS SUR</w:t>
      </w:r>
      <w:r w:rsidR="00BB6C3C" w:rsidRPr="0074666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bookmarkStart w:id="0" w:name="_Hlk102548126"/>
      <w:r w:rsidR="00B62EEF" w:rsidRPr="0074666D">
        <w:rPr>
          <w:rFonts w:asciiTheme="minorHAnsi" w:hAnsiTheme="minorHAnsi" w:cstheme="minorHAnsi"/>
          <w:b/>
          <w:sz w:val="28"/>
          <w:szCs w:val="28"/>
        </w:rPr>
        <w:t>LE PROJET DE MISE EN APPLICATION DE LA NOUVELLE CLASSIFICATION EMPLOYES ET CADRE</w:t>
      </w:r>
      <w:r w:rsidR="00B42916" w:rsidRPr="0074666D">
        <w:rPr>
          <w:rFonts w:asciiTheme="minorHAnsi" w:hAnsiTheme="minorHAnsi" w:cstheme="minorHAnsi"/>
          <w:b/>
          <w:sz w:val="28"/>
          <w:szCs w:val="28"/>
        </w:rPr>
        <w:t>S</w:t>
      </w:r>
      <w:r w:rsidR="00B62EEF" w:rsidRPr="0074666D">
        <w:rPr>
          <w:rFonts w:asciiTheme="minorHAnsi" w:hAnsiTheme="minorHAnsi" w:cstheme="minorHAnsi"/>
          <w:b/>
          <w:sz w:val="28"/>
          <w:szCs w:val="28"/>
        </w:rPr>
        <w:t xml:space="preserve"> / AGENTS DE DIRECTION</w:t>
      </w:r>
    </w:p>
    <w:bookmarkEnd w:id="0"/>
    <w:p w14:paraId="06E97297" w14:textId="77777777" w:rsidR="0097584A" w:rsidRDefault="0097584A" w:rsidP="00E83C4D">
      <w:pPr>
        <w:pStyle w:val="NormalWeb"/>
        <w:ind w:left="284"/>
        <w:jc w:val="both"/>
        <w:rPr>
          <w:rFonts w:ascii="Calibri" w:hAnsi="Calibri"/>
          <w:sz w:val="28"/>
          <w:szCs w:val="28"/>
        </w:rPr>
      </w:pPr>
      <w:r w:rsidRPr="00040B2F">
        <w:rPr>
          <w:rFonts w:ascii="Calibri" w:hAnsi="Calibri"/>
          <w:sz w:val="28"/>
          <w:szCs w:val="28"/>
        </w:rPr>
        <w:t>L’employeur a l’obligation, posée par l’article L.</w:t>
      </w:r>
      <w:r w:rsidR="00037D58" w:rsidRPr="00040B2F">
        <w:rPr>
          <w:rFonts w:ascii="Calibri" w:hAnsi="Calibri"/>
          <w:sz w:val="28"/>
          <w:szCs w:val="28"/>
        </w:rPr>
        <w:t>23</w:t>
      </w:r>
      <w:r w:rsidRPr="00040B2F">
        <w:rPr>
          <w:rFonts w:ascii="Calibri" w:hAnsi="Calibri"/>
          <w:sz w:val="28"/>
          <w:szCs w:val="28"/>
        </w:rPr>
        <w:t>12-8 du Code du travail, de consulter le C</w:t>
      </w:r>
      <w:r w:rsidR="00037D58" w:rsidRPr="00040B2F">
        <w:rPr>
          <w:rFonts w:ascii="Calibri" w:hAnsi="Calibri"/>
          <w:sz w:val="28"/>
          <w:szCs w:val="28"/>
        </w:rPr>
        <w:t xml:space="preserve">SE </w:t>
      </w:r>
      <w:r w:rsidR="00DE4910" w:rsidRPr="00040B2F">
        <w:rPr>
          <w:rFonts w:ascii="Calibri" w:hAnsi="Calibri"/>
          <w:sz w:val="28"/>
          <w:szCs w:val="28"/>
        </w:rPr>
        <w:t>sur</w:t>
      </w:r>
      <w:r w:rsidR="007909F3" w:rsidRPr="00040B2F">
        <w:rPr>
          <w:rFonts w:ascii="Calibri" w:hAnsi="Calibri"/>
          <w:sz w:val="28"/>
          <w:szCs w:val="28"/>
        </w:rPr>
        <w:t xml:space="preserve"> </w:t>
      </w:r>
      <w:r w:rsidR="00037D58" w:rsidRPr="00040B2F">
        <w:rPr>
          <w:rFonts w:ascii="Calibri" w:hAnsi="Calibri"/>
          <w:sz w:val="28"/>
          <w:szCs w:val="28"/>
        </w:rPr>
        <w:t>les questions qui intéressent l’organisation du travail, la formation professionnelle et les techniques de production.</w:t>
      </w:r>
    </w:p>
    <w:p w14:paraId="44DDB5CA" w14:textId="77777777" w:rsidR="0097584A" w:rsidRPr="00040B2F" w:rsidRDefault="0097584A" w:rsidP="00E83C4D">
      <w:pPr>
        <w:pStyle w:val="NormalWeb"/>
        <w:pBdr>
          <w:top w:val="single" w:sz="6" w:space="1" w:color="808080"/>
          <w:left w:val="single" w:sz="6" w:space="0" w:color="808080"/>
          <w:bottom w:val="single" w:sz="6" w:space="1" w:color="808080"/>
          <w:right w:val="single" w:sz="6" w:space="1" w:color="808080"/>
        </w:pBdr>
        <w:spacing w:after="0"/>
        <w:ind w:left="284"/>
        <w:jc w:val="center"/>
        <w:rPr>
          <w:rFonts w:ascii="Calibri" w:hAnsi="Calibri"/>
          <w:sz w:val="28"/>
          <w:szCs w:val="28"/>
        </w:rPr>
      </w:pPr>
      <w:r w:rsidRPr="00040B2F">
        <w:rPr>
          <w:rFonts w:ascii="Calibri" w:hAnsi="Calibri"/>
          <w:b/>
          <w:bCs/>
          <w:sz w:val="28"/>
          <w:szCs w:val="28"/>
        </w:rPr>
        <w:t>B</w:t>
      </w:r>
      <w:r w:rsidR="001428E6" w:rsidRPr="00040B2F">
        <w:rPr>
          <w:rFonts w:ascii="Calibri" w:hAnsi="Calibri"/>
          <w:b/>
          <w:bCs/>
          <w:sz w:val="28"/>
          <w:szCs w:val="28"/>
        </w:rPr>
        <w:t>ASE DOCUMENTAIRE</w:t>
      </w:r>
    </w:p>
    <w:p w14:paraId="2F386919" w14:textId="77777777" w:rsidR="00B42916" w:rsidRDefault="00B42916" w:rsidP="00E83C4D">
      <w:pPr>
        <w:pStyle w:val="NormalWeb"/>
        <w:spacing w:before="0" w:beforeAutospacing="0" w:after="0"/>
        <w:ind w:left="284"/>
        <w:jc w:val="both"/>
        <w:rPr>
          <w:rFonts w:ascii="Calibri" w:hAnsi="Calibri"/>
          <w:sz w:val="28"/>
          <w:szCs w:val="28"/>
        </w:rPr>
      </w:pPr>
    </w:p>
    <w:p w14:paraId="24C55D56" w14:textId="2D9B3C72" w:rsidR="008B6741" w:rsidRDefault="008B6741" w:rsidP="00E83C4D">
      <w:pPr>
        <w:pStyle w:val="NormalWeb"/>
        <w:spacing w:before="0" w:beforeAutospacing="0" w:after="0" w:line="360" w:lineRule="auto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Documents produits les 2 et 16 avril 2025 et détaillés lors du CSE du 22 avril 2025 :</w:t>
      </w:r>
    </w:p>
    <w:p w14:paraId="12C7137F" w14:textId="35B1FCA3" w:rsidR="008B6741" w:rsidRDefault="008B6741" w:rsidP="00E83C4D">
      <w:pPr>
        <w:pStyle w:val="NormalWeb"/>
        <w:numPr>
          <w:ilvl w:val="0"/>
          <w:numId w:val="6"/>
        </w:numPr>
        <w:spacing w:before="0" w:beforeAutospacing="0" w:after="0" w:line="360" w:lineRule="auto"/>
        <w:ind w:left="284" w:firstLine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Protocole d’accord du personnel de Direction et des employés et cadres</w:t>
      </w:r>
      <w:r w:rsidR="007E3A12">
        <w:rPr>
          <w:rFonts w:ascii="Calibri" w:hAnsi="Calibri"/>
          <w:sz w:val="28"/>
          <w:szCs w:val="28"/>
        </w:rPr>
        <w:t> ;</w:t>
      </w:r>
    </w:p>
    <w:p w14:paraId="114B1027" w14:textId="1B2FFBE2" w:rsidR="007E3A12" w:rsidRDefault="007E3A12" w:rsidP="00E83C4D">
      <w:pPr>
        <w:pStyle w:val="NormalWeb"/>
        <w:numPr>
          <w:ilvl w:val="0"/>
          <w:numId w:val="6"/>
        </w:numPr>
        <w:spacing w:before="0" w:beforeAutospacing="0" w:after="0" w:line="360" w:lineRule="auto"/>
        <w:ind w:left="284" w:firstLine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Etat des lieux des libellés emplois ;</w:t>
      </w:r>
    </w:p>
    <w:p w14:paraId="70C22616" w14:textId="2D935DA6" w:rsidR="007E3A12" w:rsidRDefault="007E3A12" w:rsidP="00E83C4D">
      <w:pPr>
        <w:pStyle w:val="NormalWeb"/>
        <w:numPr>
          <w:ilvl w:val="0"/>
          <w:numId w:val="6"/>
        </w:numPr>
        <w:spacing w:before="0" w:beforeAutospacing="0" w:after="0" w:line="360" w:lineRule="auto"/>
        <w:ind w:left="284" w:firstLine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Powerpoint de présentation ;</w:t>
      </w:r>
    </w:p>
    <w:p w14:paraId="08F691A9" w14:textId="7E5D4274" w:rsidR="007E3A12" w:rsidRDefault="007E3A12" w:rsidP="00E83C4D">
      <w:pPr>
        <w:pStyle w:val="NormalWeb"/>
        <w:numPr>
          <w:ilvl w:val="0"/>
          <w:numId w:val="6"/>
        </w:numPr>
        <w:spacing w:before="0" w:beforeAutospacing="0" w:after="0" w:line="360" w:lineRule="auto"/>
        <w:ind w:left="284" w:firstLine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Projet de reclassement avec les niveaux initiaux et les nouveaux niveaux.</w:t>
      </w:r>
    </w:p>
    <w:p w14:paraId="17608309" w14:textId="77777777" w:rsidR="007E3A12" w:rsidRDefault="007E3A12" w:rsidP="007E3A12">
      <w:pPr>
        <w:pStyle w:val="NormalWeb"/>
        <w:spacing w:before="0" w:beforeAutospacing="0" w:after="0"/>
        <w:ind w:left="720"/>
        <w:jc w:val="both"/>
        <w:rPr>
          <w:rFonts w:ascii="Calibri" w:hAnsi="Calibri"/>
          <w:sz w:val="28"/>
          <w:szCs w:val="28"/>
        </w:rPr>
      </w:pPr>
    </w:p>
    <w:p w14:paraId="4F47A425" w14:textId="77777777" w:rsidR="0097584A" w:rsidRPr="00040B2F" w:rsidRDefault="00A82EC8" w:rsidP="00E83C4D">
      <w:pPr>
        <w:pStyle w:val="NormalWeb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spacing w:after="0"/>
        <w:ind w:left="142"/>
        <w:jc w:val="center"/>
        <w:rPr>
          <w:rFonts w:ascii="Calibri" w:hAnsi="Calibri"/>
          <w:sz w:val="28"/>
          <w:szCs w:val="28"/>
        </w:rPr>
      </w:pPr>
      <w:r w:rsidRPr="00040B2F">
        <w:rPr>
          <w:rFonts w:ascii="Calibri" w:hAnsi="Calibri"/>
          <w:b/>
          <w:bCs/>
          <w:sz w:val="28"/>
          <w:szCs w:val="28"/>
        </w:rPr>
        <w:t>C</w:t>
      </w:r>
      <w:r w:rsidR="001428E6" w:rsidRPr="00040B2F">
        <w:rPr>
          <w:rFonts w:ascii="Calibri" w:hAnsi="Calibri"/>
          <w:b/>
          <w:bCs/>
          <w:sz w:val="28"/>
          <w:szCs w:val="28"/>
        </w:rPr>
        <w:t>ONSTATS</w:t>
      </w:r>
    </w:p>
    <w:p w14:paraId="60269189" w14:textId="42AA241D" w:rsidR="00F431AC" w:rsidRDefault="00F431AC" w:rsidP="00FE7573">
      <w:pPr>
        <w:pStyle w:val="NormalWeb"/>
        <w:spacing w:before="0" w:beforeAutospacing="0" w:after="0"/>
        <w:jc w:val="both"/>
        <w:rPr>
          <w:rFonts w:ascii="Calibri" w:hAnsi="Calibri"/>
          <w:sz w:val="28"/>
          <w:szCs w:val="28"/>
        </w:rPr>
      </w:pPr>
    </w:p>
    <w:p w14:paraId="5A766F27" w14:textId="77777777" w:rsidR="007E3A12" w:rsidRPr="00040B2F" w:rsidRDefault="007E3A12" w:rsidP="00FE7573">
      <w:pPr>
        <w:pStyle w:val="NormalWeb"/>
        <w:spacing w:before="0" w:beforeAutospacing="0" w:after="0"/>
        <w:jc w:val="both"/>
        <w:rPr>
          <w:rFonts w:ascii="Calibri" w:hAnsi="Calibri"/>
          <w:sz w:val="28"/>
          <w:szCs w:val="28"/>
        </w:rPr>
      </w:pPr>
    </w:p>
    <w:p w14:paraId="24326758" w14:textId="7906BBE1" w:rsidR="00343CC8" w:rsidRDefault="00B62EEF" w:rsidP="00E83C4D">
      <w:pPr>
        <w:pStyle w:val="NormalWeb"/>
        <w:spacing w:before="0" w:beforeAutospacing="0" w:after="0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Au national, deux textes ont été signés en novembre 2024 </w:t>
      </w:r>
      <w:r w:rsidR="007E3A12">
        <w:rPr>
          <w:rFonts w:ascii="Calibri" w:hAnsi="Calibri"/>
          <w:sz w:val="28"/>
          <w:szCs w:val="28"/>
        </w:rPr>
        <w:t xml:space="preserve">- </w:t>
      </w:r>
      <w:r>
        <w:rPr>
          <w:rFonts w:ascii="Calibri" w:hAnsi="Calibri"/>
          <w:sz w:val="28"/>
          <w:szCs w:val="28"/>
        </w:rPr>
        <w:t>avec un agrément en mars 2025</w:t>
      </w:r>
      <w:r w:rsidR="007E3A12">
        <w:rPr>
          <w:rFonts w:ascii="Calibri" w:hAnsi="Calibri"/>
          <w:sz w:val="28"/>
          <w:szCs w:val="28"/>
        </w:rPr>
        <w:t xml:space="preserve"> -</w:t>
      </w:r>
      <w:r>
        <w:rPr>
          <w:rFonts w:ascii="Calibri" w:hAnsi="Calibri"/>
          <w:sz w:val="28"/>
          <w:szCs w:val="28"/>
        </w:rPr>
        <w:t xml:space="preserve"> validant une nouvelle classification.</w:t>
      </w:r>
    </w:p>
    <w:p w14:paraId="4D1E91F6" w14:textId="77777777" w:rsidR="00D15B56" w:rsidRDefault="00D15B56" w:rsidP="00E83C4D">
      <w:pPr>
        <w:pStyle w:val="NormalWeb"/>
        <w:spacing w:before="0" w:beforeAutospacing="0" w:after="0"/>
        <w:ind w:left="284"/>
        <w:jc w:val="both"/>
        <w:rPr>
          <w:rFonts w:ascii="Calibri" w:hAnsi="Calibri"/>
          <w:sz w:val="28"/>
          <w:szCs w:val="28"/>
        </w:rPr>
      </w:pPr>
    </w:p>
    <w:p w14:paraId="2563FF15" w14:textId="77777777" w:rsidR="00966DC9" w:rsidRDefault="00966DC9" w:rsidP="00E83C4D">
      <w:pPr>
        <w:pStyle w:val="NormalWeb"/>
        <w:spacing w:before="0" w:beforeAutospacing="0" w:after="0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Il existe des emplois repérés pour lesquels le niveau de rémunération est défini nationalement et des emplois non-repérés avec une évaluation locale et un positionnement proposé par la direction pour chacun des emplois non-repérés.</w:t>
      </w:r>
    </w:p>
    <w:p w14:paraId="0140936A" w14:textId="77777777" w:rsidR="00966DC9" w:rsidRDefault="00966DC9" w:rsidP="00E83C4D">
      <w:pPr>
        <w:pStyle w:val="NormalWeb"/>
        <w:spacing w:before="0" w:beforeAutospacing="0" w:after="0"/>
        <w:ind w:left="284"/>
        <w:jc w:val="both"/>
        <w:rPr>
          <w:rFonts w:ascii="Calibri" w:hAnsi="Calibri"/>
          <w:sz w:val="28"/>
          <w:szCs w:val="28"/>
        </w:rPr>
      </w:pPr>
    </w:p>
    <w:p w14:paraId="208B7127" w14:textId="310A160F" w:rsidR="00966DC9" w:rsidRDefault="00B62EEF" w:rsidP="00E83C4D">
      <w:pPr>
        <w:pStyle w:val="NormalWeb"/>
        <w:spacing w:before="0" w:beforeAutospacing="0" w:after="0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Il n’est pas question ici de relancer le débat sur le bien fondé ou non de cette classification mais de donner un avis sur son application à la CAF du Pas de Calais telle que proposée par la direction</w:t>
      </w:r>
      <w:r w:rsidR="00155AA8">
        <w:rPr>
          <w:rFonts w:ascii="Calibri" w:hAnsi="Calibri"/>
          <w:sz w:val="28"/>
          <w:szCs w:val="28"/>
        </w:rPr>
        <w:t>, n</w:t>
      </w:r>
      <w:r w:rsidR="00966DC9">
        <w:rPr>
          <w:rFonts w:ascii="Calibri" w:hAnsi="Calibri"/>
          <w:sz w:val="28"/>
          <w:szCs w:val="28"/>
        </w:rPr>
        <w:t xml:space="preserve">éanmoins, il </w:t>
      </w:r>
      <w:r w:rsidR="00155AA8">
        <w:rPr>
          <w:rFonts w:ascii="Calibri" w:hAnsi="Calibri"/>
          <w:sz w:val="28"/>
          <w:szCs w:val="28"/>
        </w:rPr>
        <w:t>convient de</w:t>
      </w:r>
      <w:r w:rsidR="00966DC9">
        <w:rPr>
          <w:rFonts w:ascii="Calibri" w:hAnsi="Calibri"/>
          <w:sz w:val="28"/>
          <w:szCs w:val="28"/>
        </w:rPr>
        <w:t xml:space="preserve"> souligner que :</w:t>
      </w:r>
    </w:p>
    <w:p w14:paraId="3CE4015D" w14:textId="77102763" w:rsidR="00966DC9" w:rsidRPr="00966DC9" w:rsidRDefault="00966DC9" w:rsidP="00155AA8">
      <w:pPr>
        <w:pStyle w:val="NormalWeb"/>
        <w:numPr>
          <w:ilvl w:val="0"/>
          <w:numId w:val="6"/>
        </w:numPr>
        <w:spacing w:before="240" w:beforeAutospacing="0" w:after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Cette nouvelle classification </w:t>
      </w:r>
      <w:r w:rsidRPr="00966DC9">
        <w:rPr>
          <w:rFonts w:ascii="Calibri" w:hAnsi="Calibri"/>
          <w:sz w:val="28"/>
          <w:szCs w:val="28"/>
        </w:rPr>
        <w:t>ne valorise nullement l’ancienneté et de fait, les salariés investis depuis de nombreuses années dans le bon fonctionnement de notre organisme et l’accomplissement de la mission de service public</w:t>
      </w:r>
      <w:r>
        <w:rPr>
          <w:rFonts w:ascii="Calibri" w:hAnsi="Calibri"/>
          <w:sz w:val="28"/>
          <w:szCs w:val="28"/>
        </w:rPr>
        <w:t> ;</w:t>
      </w:r>
    </w:p>
    <w:p w14:paraId="400EB741" w14:textId="537A2724" w:rsidR="00966DC9" w:rsidRDefault="00966DC9" w:rsidP="00155AA8">
      <w:pPr>
        <w:pStyle w:val="NormalWeb"/>
        <w:numPr>
          <w:ilvl w:val="0"/>
          <w:numId w:val="6"/>
        </w:numPr>
        <w:spacing w:before="240" w:beforeAutospacing="0" w:after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Même en cas de changement de niveau de rémunération, l’incidence financière est majoritairement nulle (3 points minimum garantis).</w:t>
      </w:r>
    </w:p>
    <w:p w14:paraId="01EF8D38" w14:textId="0F970365" w:rsidR="00155AA8" w:rsidRDefault="00155AA8">
      <w:pPr>
        <w:spacing w:after="0" w:line="240" w:lineRule="auto"/>
        <w:rPr>
          <w:rFonts w:eastAsia="Times New Roman"/>
          <w:sz w:val="28"/>
          <w:szCs w:val="28"/>
          <w:lang w:eastAsia="fr-FR"/>
        </w:rPr>
      </w:pPr>
      <w:r>
        <w:rPr>
          <w:sz w:val="28"/>
          <w:szCs w:val="28"/>
        </w:rPr>
        <w:br w:type="page"/>
      </w:r>
    </w:p>
    <w:p w14:paraId="67319E77" w14:textId="0FE973C3" w:rsidR="00A82EC8" w:rsidRPr="00040B2F" w:rsidRDefault="005460EE" w:rsidP="00E83C4D">
      <w:pPr>
        <w:pStyle w:val="NormalWeb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spacing w:after="0"/>
        <w:ind w:left="142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AVIS DU CSE</w:t>
      </w:r>
    </w:p>
    <w:p w14:paraId="1C6B372A" w14:textId="7374176D" w:rsidR="005460EE" w:rsidRDefault="00651127" w:rsidP="00E83C4D">
      <w:pPr>
        <w:pStyle w:val="NormalWeb"/>
        <w:spacing w:after="0"/>
        <w:ind w:left="284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Après avoir pris connaissance de</w:t>
      </w:r>
      <w:r w:rsidR="00522E55">
        <w:rPr>
          <w:rFonts w:ascii="Calibri" w:hAnsi="Calibri"/>
          <w:sz w:val="28"/>
          <w:szCs w:val="28"/>
        </w:rPr>
        <w:t xml:space="preserve">s </w:t>
      </w:r>
      <w:r w:rsidR="007E3A12">
        <w:rPr>
          <w:rFonts w:ascii="Calibri" w:hAnsi="Calibri"/>
          <w:sz w:val="28"/>
          <w:szCs w:val="28"/>
        </w:rPr>
        <w:t xml:space="preserve">différents </w:t>
      </w:r>
      <w:r w:rsidR="00522E55">
        <w:rPr>
          <w:rFonts w:ascii="Calibri" w:hAnsi="Calibri"/>
          <w:sz w:val="28"/>
          <w:szCs w:val="28"/>
        </w:rPr>
        <w:t>éléments,</w:t>
      </w:r>
      <w:r>
        <w:rPr>
          <w:rFonts w:ascii="Calibri" w:hAnsi="Calibri"/>
          <w:sz w:val="28"/>
          <w:szCs w:val="28"/>
        </w:rPr>
        <w:t xml:space="preserve"> les</w:t>
      </w:r>
      <w:r w:rsidR="000305CB" w:rsidRPr="00040B2F">
        <w:rPr>
          <w:rFonts w:ascii="Calibri" w:hAnsi="Calibri"/>
          <w:sz w:val="28"/>
          <w:szCs w:val="28"/>
        </w:rPr>
        <w:t xml:space="preserve"> membres du CSE</w:t>
      </w:r>
      <w:r w:rsidR="00522E55">
        <w:rPr>
          <w:rFonts w:ascii="Calibri" w:hAnsi="Calibri"/>
          <w:sz w:val="28"/>
          <w:szCs w:val="28"/>
        </w:rPr>
        <w:t xml:space="preserve"> </w:t>
      </w:r>
      <w:r w:rsidR="00522E55" w:rsidRPr="007E3A12">
        <w:rPr>
          <w:rFonts w:ascii="Calibri" w:hAnsi="Calibri"/>
          <w:b/>
          <w:bCs/>
          <w:sz w:val="28"/>
          <w:szCs w:val="28"/>
        </w:rPr>
        <w:t xml:space="preserve">à </w:t>
      </w:r>
      <w:r w:rsidR="005460EE" w:rsidRPr="007E3A12">
        <w:rPr>
          <w:rFonts w:ascii="Calibri" w:hAnsi="Calibri"/>
          <w:b/>
          <w:bCs/>
          <w:sz w:val="28"/>
          <w:szCs w:val="28"/>
        </w:rPr>
        <w:t>l’unanimité</w:t>
      </w:r>
      <w:r w:rsidR="005460EE">
        <w:rPr>
          <w:rFonts w:ascii="Calibri" w:hAnsi="Calibri"/>
          <w:sz w:val="28"/>
          <w:szCs w:val="28"/>
        </w:rPr>
        <w:t xml:space="preserve"> rendent </w:t>
      </w:r>
      <w:r w:rsidR="005460EE" w:rsidRPr="00155AA8">
        <w:rPr>
          <w:rFonts w:ascii="Calibri" w:hAnsi="Calibri"/>
          <w:b/>
          <w:bCs/>
          <w:sz w:val="28"/>
          <w:szCs w:val="28"/>
        </w:rPr>
        <w:t>un avis défavorable</w:t>
      </w:r>
      <w:r w:rsidR="005460EE">
        <w:rPr>
          <w:rFonts w:ascii="Calibri" w:hAnsi="Calibri"/>
          <w:sz w:val="28"/>
          <w:szCs w:val="28"/>
        </w:rPr>
        <w:t xml:space="preserve"> sur la mise en œuvre de la classification à la CAF du Pas de Calais</w:t>
      </w:r>
      <w:r w:rsidR="00155AA8">
        <w:rPr>
          <w:rFonts w:ascii="Calibri" w:hAnsi="Calibri"/>
          <w:sz w:val="28"/>
          <w:szCs w:val="28"/>
        </w:rPr>
        <w:t xml:space="preserve"> </w:t>
      </w:r>
      <w:r w:rsidR="005460EE">
        <w:rPr>
          <w:rFonts w:ascii="Calibri" w:hAnsi="Calibri"/>
          <w:sz w:val="28"/>
          <w:szCs w:val="28"/>
        </w:rPr>
        <w:t>pour les</w:t>
      </w:r>
      <w:r w:rsidR="00155AA8">
        <w:rPr>
          <w:rFonts w:ascii="Calibri" w:hAnsi="Calibri"/>
          <w:sz w:val="28"/>
          <w:szCs w:val="28"/>
        </w:rPr>
        <w:t xml:space="preserve"> ra</w:t>
      </w:r>
      <w:r w:rsidR="005460EE">
        <w:rPr>
          <w:rFonts w:ascii="Calibri" w:hAnsi="Calibri"/>
          <w:sz w:val="28"/>
          <w:szCs w:val="28"/>
        </w:rPr>
        <w:t>isons suivantes :</w:t>
      </w:r>
      <w:r w:rsidR="00522E55">
        <w:rPr>
          <w:rFonts w:ascii="Calibri" w:hAnsi="Calibri"/>
          <w:sz w:val="28"/>
          <w:szCs w:val="28"/>
        </w:rPr>
        <w:t xml:space="preserve"> </w:t>
      </w:r>
    </w:p>
    <w:p w14:paraId="43ED3D4D" w14:textId="77777777" w:rsidR="007E3A12" w:rsidRPr="007E3A12" w:rsidRDefault="007E3A12" w:rsidP="000305CB">
      <w:pPr>
        <w:pStyle w:val="NormalWeb"/>
        <w:spacing w:after="0"/>
        <w:jc w:val="both"/>
        <w:rPr>
          <w:rFonts w:ascii="Calibri" w:hAnsi="Calibri"/>
          <w:sz w:val="8"/>
          <w:szCs w:val="8"/>
        </w:rPr>
      </w:pPr>
    </w:p>
    <w:p w14:paraId="7780FB87" w14:textId="2A0520B6" w:rsidR="00155AA8" w:rsidRDefault="00155AA8" w:rsidP="007E3A1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8"/>
          <w:szCs w:val="28"/>
          <w:lang w:eastAsia="fr-FR"/>
        </w:rPr>
      </w:pPr>
      <w:r>
        <w:rPr>
          <w:rFonts w:eastAsia="Times New Roman"/>
          <w:sz w:val="28"/>
          <w:szCs w:val="28"/>
          <w:lang w:eastAsia="fr-FR"/>
        </w:rPr>
        <w:t>Après la mise en œuvre de la nouvelle classification, d</w:t>
      </w:r>
      <w:r w:rsidR="00330600" w:rsidRPr="001F7687">
        <w:rPr>
          <w:rFonts w:eastAsia="Times New Roman"/>
          <w:sz w:val="28"/>
          <w:szCs w:val="28"/>
          <w:lang w:eastAsia="fr-FR"/>
        </w:rPr>
        <w:t>es</w:t>
      </w:r>
      <w:r w:rsidR="001F7687" w:rsidRPr="001F7687">
        <w:rPr>
          <w:rFonts w:eastAsia="Times New Roman"/>
          <w:sz w:val="28"/>
          <w:szCs w:val="28"/>
          <w:lang w:eastAsia="fr-FR"/>
        </w:rPr>
        <w:t xml:space="preserve"> postes restent non repérés</w:t>
      </w:r>
      <w:r w:rsidR="00553846">
        <w:rPr>
          <w:rFonts w:eastAsia="Times New Roman"/>
          <w:sz w:val="28"/>
          <w:szCs w:val="28"/>
          <w:lang w:eastAsia="fr-FR"/>
        </w:rPr>
        <w:t> ;</w:t>
      </w:r>
      <w:r w:rsidR="006F5EF7">
        <w:rPr>
          <w:rFonts w:eastAsia="Times New Roman"/>
          <w:sz w:val="28"/>
          <w:szCs w:val="28"/>
          <w:lang w:eastAsia="fr-FR"/>
        </w:rPr>
        <w:t xml:space="preserve"> s’agissant de ces derniers, </w:t>
      </w:r>
      <w:r w:rsidR="00553846">
        <w:rPr>
          <w:rFonts w:eastAsia="Times New Roman"/>
          <w:sz w:val="28"/>
          <w:szCs w:val="28"/>
          <w:lang w:eastAsia="fr-FR"/>
        </w:rPr>
        <w:t>il y a parfois de grosses différences selon les services et un manque de lisibilité ;</w:t>
      </w:r>
    </w:p>
    <w:p w14:paraId="34F9A4C2" w14:textId="777D9D3F" w:rsidR="00BC65F0" w:rsidRDefault="00330600" w:rsidP="006F5EF7">
      <w:pPr>
        <w:pStyle w:val="Paragraphedeliste"/>
        <w:numPr>
          <w:ilvl w:val="0"/>
          <w:numId w:val="2"/>
        </w:numPr>
        <w:spacing w:before="240" w:after="0" w:line="240" w:lineRule="auto"/>
        <w:jc w:val="both"/>
        <w:rPr>
          <w:rFonts w:eastAsia="Times New Roman"/>
          <w:sz w:val="28"/>
          <w:szCs w:val="28"/>
          <w:lang w:eastAsia="fr-FR"/>
        </w:rPr>
      </w:pPr>
      <w:r w:rsidRPr="001F7687">
        <w:rPr>
          <w:rFonts w:eastAsia="Times New Roman"/>
          <w:sz w:val="28"/>
          <w:szCs w:val="28"/>
          <w:lang w:eastAsia="fr-FR"/>
        </w:rPr>
        <w:t>Des</w:t>
      </w:r>
      <w:r w:rsidR="001F7687" w:rsidRPr="001F7687">
        <w:rPr>
          <w:rFonts w:eastAsia="Times New Roman"/>
          <w:sz w:val="28"/>
          <w:szCs w:val="28"/>
          <w:lang w:eastAsia="fr-FR"/>
        </w:rPr>
        <w:t xml:space="preserve"> postes qui </w:t>
      </w:r>
      <w:r w:rsidR="00155AA8">
        <w:rPr>
          <w:rFonts w:eastAsia="Times New Roman"/>
          <w:sz w:val="28"/>
          <w:szCs w:val="28"/>
          <w:lang w:eastAsia="fr-FR"/>
        </w:rPr>
        <w:t>n’ont pas été</w:t>
      </w:r>
      <w:r w:rsidR="001F7687" w:rsidRPr="001F7687">
        <w:rPr>
          <w:rFonts w:eastAsia="Times New Roman"/>
          <w:sz w:val="28"/>
          <w:szCs w:val="28"/>
          <w:lang w:eastAsia="fr-FR"/>
        </w:rPr>
        <w:t xml:space="preserve"> repérés </w:t>
      </w:r>
      <w:r w:rsidR="00155AA8">
        <w:rPr>
          <w:rFonts w:eastAsia="Times New Roman"/>
          <w:sz w:val="28"/>
          <w:szCs w:val="28"/>
          <w:lang w:eastAsia="fr-FR"/>
        </w:rPr>
        <w:t xml:space="preserve">ont </w:t>
      </w:r>
      <w:r w:rsidR="001F7687" w:rsidRPr="001F7687">
        <w:rPr>
          <w:rFonts w:eastAsia="Times New Roman"/>
          <w:sz w:val="28"/>
          <w:szCs w:val="28"/>
          <w:lang w:eastAsia="fr-FR"/>
        </w:rPr>
        <w:t>pourtant</w:t>
      </w:r>
      <w:r w:rsidR="00155AA8">
        <w:rPr>
          <w:rFonts w:eastAsia="Times New Roman"/>
          <w:sz w:val="28"/>
          <w:szCs w:val="28"/>
          <w:lang w:eastAsia="fr-FR"/>
        </w:rPr>
        <w:t xml:space="preserve"> été</w:t>
      </w:r>
      <w:r w:rsidR="001F7687" w:rsidRPr="001F7687">
        <w:rPr>
          <w:rFonts w:eastAsia="Times New Roman"/>
          <w:sz w:val="28"/>
          <w:szCs w:val="28"/>
          <w:lang w:eastAsia="fr-FR"/>
        </w:rPr>
        <w:t xml:space="preserve"> reclassés à des niveaux différents</w:t>
      </w:r>
      <w:r w:rsidR="001F7687">
        <w:rPr>
          <w:rFonts w:eastAsia="Times New Roman"/>
          <w:sz w:val="28"/>
          <w:szCs w:val="28"/>
          <w:lang w:eastAsia="fr-FR"/>
        </w:rPr>
        <w:t xml:space="preserve"> </w:t>
      </w:r>
      <w:r w:rsidR="00155AA8">
        <w:rPr>
          <w:rFonts w:eastAsia="Times New Roman"/>
          <w:sz w:val="28"/>
          <w:szCs w:val="28"/>
          <w:lang w:eastAsia="fr-FR"/>
        </w:rPr>
        <w:t xml:space="preserve">et ce, sans réelle cohérence d’ensemble ni discussion préalable avec le CSE </w:t>
      </w:r>
      <w:r w:rsidR="00E90846" w:rsidRPr="00A766EE">
        <w:rPr>
          <w:rFonts w:eastAsia="Times New Roman"/>
          <w:sz w:val="28"/>
          <w:szCs w:val="28"/>
          <w:lang w:eastAsia="fr-FR"/>
        </w:rPr>
        <w:t xml:space="preserve">; </w:t>
      </w:r>
    </w:p>
    <w:p w14:paraId="4840E3D3" w14:textId="28879F77" w:rsidR="00651127" w:rsidRDefault="00330600" w:rsidP="006F5EF7">
      <w:pPr>
        <w:pStyle w:val="Paragraphedeliste"/>
        <w:numPr>
          <w:ilvl w:val="0"/>
          <w:numId w:val="2"/>
        </w:numPr>
        <w:spacing w:before="240" w:after="0" w:line="240" w:lineRule="auto"/>
        <w:jc w:val="both"/>
        <w:rPr>
          <w:sz w:val="28"/>
          <w:szCs w:val="28"/>
        </w:rPr>
      </w:pPr>
      <w:r w:rsidRPr="001F7687">
        <w:rPr>
          <w:rFonts w:eastAsia="Times New Roman"/>
          <w:sz w:val="28"/>
          <w:szCs w:val="28"/>
          <w:lang w:eastAsia="fr-FR"/>
        </w:rPr>
        <w:t>Le</w:t>
      </w:r>
      <w:r w:rsidR="001F7687" w:rsidRPr="001F7687">
        <w:rPr>
          <w:rFonts w:eastAsia="Times New Roman"/>
          <w:sz w:val="28"/>
          <w:szCs w:val="28"/>
          <w:lang w:eastAsia="fr-FR"/>
        </w:rPr>
        <w:t xml:space="preserve"> </w:t>
      </w:r>
      <w:r>
        <w:rPr>
          <w:rFonts w:eastAsia="Times New Roman"/>
          <w:sz w:val="28"/>
          <w:szCs w:val="28"/>
          <w:lang w:eastAsia="fr-FR"/>
        </w:rPr>
        <w:t>C</w:t>
      </w:r>
      <w:r w:rsidR="007E3A12">
        <w:rPr>
          <w:rFonts w:eastAsia="Times New Roman"/>
          <w:sz w:val="28"/>
          <w:szCs w:val="28"/>
          <w:lang w:eastAsia="fr-FR"/>
        </w:rPr>
        <w:t>SE</w:t>
      </w:r>
      <w:r w:rsidR="001F7687" w:rsidRPr="001F7687">
        <w:rPr>
          <w:sz w:val="28"/>
          <w:szCs w:val="28"/>
        </w:rPr>
        <w:t xml:space="preserve"> considère que la direction aurait pu davantage profiter de replacer </w:t>
      </w:r>
      <w:r w:rsidRPr="001F7687">
        <w:rPr>
          <w:sz w:val="28"/>
          <w:szCs w:val="28"/>
        </w:rPr>
        <w:t>les personnes non repérées</w:t>
      </w:r>
      <w:r w:rsidR="001F7687" w:rsidRPr="001F7687">
        <w:rPr>
          <w:sz w:val="28"/>
          <w:szCs w:val="28"/>
        </w:rPr>
        <w:t xml:space="preserve"> à un niveau de rémunération plus conforme à la cotation de</w:t>
      </w:r>
      <w:r w:rsidR="00553846">
        <w:rPr>
          <w:sz w:val="28"/>
          <w:szCs w:val="28"/>
        </w:rPr>
        <w:t xml:space="preserve"> leur</w:t>
      </w:r>
      <w:r w:rsidR="001F7687" w:rsidRPr="001F7687">
        <w:rPr>
          <w:sz w:val="28"/>
          <w:szCs w:val="28"/>
        </w:rPr>
        <w:t>s activités</w:t>
      </w:r>
      <w:r w:rsidR="00494EBD">
        <w:rPr>
          <w:sz w:val="28"/>
          <w:szCs w:val="28"/>
        </w:rPr>
        <w:t xml:space="preserve"> </w:t>
      </w:r>
      <w:r w:rsidR="001F7687">
        <w:rPr>
          <w:sz w:val="28"/>
          <w:szCs w:val="28"/>
        </w:rPr>
        <w:t>;</w:t>
      </w:r>
    </w:p>
    <w:p w14:paraId="70A7EB28" w14:textId="2CB8A9E8" w:rsidR="001F7687" w:rsidRDefault="00330600" w:rsidP="006F5EF7">
      <w:pPr>
        <w:pStyle w:val="Paragraphedeliste"/>
        <w:numPr>
          <w:ilvl w:val="0"/>
          <w:numId w:val="2"/>
        </w:numPr>
        <w:spacing w:before="240" w:after="0" w:line="240" w:lineRule="auto"/>
        <w:jc w:val="both"/>
        <w:rPr>
          <w:sz w:val="28"/>
          <w:szCs w:val="28"/>
        </w:rPr>
      </w:pPr>
      <w:r w:rsidRPr="001F7687">
        <w:rPr>
          <w:sz w:val="28"/>
          <w:szCs w:val="28"/>
        </w:rPr>
        <w:t>Le</w:t>
      </w:r>
      <w:r w:rsidR="001F7687" w:rsidRPr="001F7687">
        <w:rPr>
          <w:sz w:val="28"/>
          <w:szCs w:val="28"/>
        </w:rPr>
        <w:t xml:space="preserve"> p</w:t>
      </w:r>
      <w:r>
        <w:rPr>
          <w:sz w:val="28"/>
          <w:szCs w:val="28"/>
        </w:rPr>
        <w:t>roblème</w:t>
      </w:r>
      <w:r w:rsidR="001F7687" w:rsidRPr="001F7687">
        <w:rPr>
          <w:sz w:val="28"/>
          <w:szCs w:val="28"/>
        </w:rPr>
        <w:t xml:space="preserve"> des référents techniques et technicien</w:t>
      </w:r>
      <w:r w:rsidR="007E3A12">
        <w:rPr>
          <w:sz w:val="28"/>
          <w:szCs w:val="28"/>
        </w:rPr>
        <w:t>s</w:t>
      </w:r>
      <w:r w:rsidR="001F7687" w:rsidRPr="001F7687">
        <w:rPr>
          <w:sz w:val="28"/>
          <w:szCs w:val="28"/>
        </w:rPr>
        <w:t xml:space="preserve"> référent</w:t>
      </w:r>
      <w:r w:rsidR="007E3A12">
        <w:rPr>
          <w:sz w:val="28"/>
          <w:szCs w:val="28"/>
        </w:rPr>
        <w:t>s</w:t>
      </w:r>
      <w:r w:rsidR="001F7687" w:rsidRPr="001F7687">
        <w:rPr>
          <w:sz w:val="28"/>
          <w:szCs w:val="28"/>
        </w:rPr>
        <w:t xml:space="preserve"> aurait pu être anticipé pour distinguer les deux métiers et s'assurer que ceux qui effectuent des taches cotées 4b passent 4b et non 4A</w:t>
      </w:r>
      <w:r w:rsidR="001F7687">
        <w:rPr>
          <w:sz w:val="28"/>
          <w:szCs w:val="28"/>
        </w:rPr>
        <w:t> ;</w:t>
      </w:r>
    </w:p>
    <w:p w14:paraId="524C2DF1" w14:textId="54FAEA51" w:rsidR="001F7687" w:rsidRDefault="001F7687" w:rsidP="006F5EF7">
      <w:pPr>
        <w:pStyle w:val="Paragraphedeliste"/>
        <w:numPr>
          <w:ilvl w:val="0"/>
          <w:numId w:val="2"/>
        </w:numPr>
        <w:spacing w:before="24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Les élus déplorent la disparition du métier de « référent technique</w:t>
      </w:r>
      <w:r w:rsidR="007E3A12">
        <w:rPr>
          <w:sz w:val="28"/>
          <w:szCs w:val="28"/>
        </w:rPr>
        <w:t> »</w:t>
      </w:r>
      <w:r>
        <w:rPr>
          <w:sz w:val="28"/>
          <w:szCs w:val="28"/>
        </w:rPr>
        <w:t xml:space="preserve"> dans certains services</w:t>
      </w:r>
      <w:r w:rsidR="00330600">
        <w:rPr>
          <w:sz w:val="28"/>
          <w:szCs w:val="28"/>
        </w:rPr>
        <w:t> ;</w:t>
      </w:r>
    </w:p>
    <w:p w14:paraId="68A53A8D" w14:textId="747073BD" w:rsidR="001F7687" w:rsidRPr="00155AA8" w:rsidRDefault="001F7687" w:rsidP="006F5EF7">
      <w:pPr>
        <w:pStyle w:val="Paragraphedeliste"/>
        <w:numPr>
          <w:ilvl w:val="0"/>
          <w:numId w:val="2"/>
        </w:numPr>
        <w:spacing w:before="240" w:after="0"/>
        <w:jc w:val="both"/>
        <w:rPr>
          <w:sz w:val="28"/>
          <w:szCs w:val="28"/>
        </w:rPr>
      </w:pPr>
      <w:r w:rsidRPr="001F7687">
        <w:rPr>
          <w:sz w:val="28"/>
          <w:szCs w:val="28"/>
        </w:rPr>
        <w:t>Le C</w:t>
      </w:r>
      <w:r w:rsidR="007E3A12">
        <w:rPr>
          <w:sz w:val="28"/>
          <w:szCs w:val="28"/>
        </w:rPr>
        <w:t>SE</w:t>
      </w:r>
      <w:r w:rsidRPr="001F7687">
        <w:rPr>
          <w:sz w:val="28"/>
          <w:szCs w:val="28"/>
        </w:rPr>
        <w:t xml:space="preserve"> est chargé de veiller à l'application des règles de classification des emplois et de s'assurer que les emplois non repérés sont évalués de manière juste et équitable.</w:t>
      </w:r>
      <w:r>
        <w:rPr>
          <w:sz w:val="28"/>
          <w:szCs w:val="28"/>
        </w:rPr>
        <w:t xml:space="preserve"> </w:t>
      </w:r>
      <w:r w:rsidRPr="001F7687">
        <w:rPr>
          <w:sz w:val="28"/>
          <w:szCs w:val="28"/>
        </w:rPr>
        <w:t>Pour ce faire, le C</w:t>
      </w:r>
      <w:r w:rsidR="007E3A12">
        <w:rPr>
          <w:sz w:val="28"/>
          <w:szCs w:val="28"/>
        </w:rPr>
        <w:t>SE</w:t>
      </w:r>
      <w:r w:rsidRPr="001F7687">
        <w:rPr>
          <w:sz w:val="28"/>
          <w:szCs w:val="28"/>
        </w:rPr>
        <w:t xml:space="preserve"> doit disposer des fiches emplois / activités locales, qui décrivent la finalité et les activités effectivement exercées pour chaque emploi non repéré. Ces fiches sont indispensables pour que le C</w:t>
      </w:r>
      <w:r w:rsidR="007E3A12">
        <w:rPr>
          <w:sz w:val="28"/>
          <w:szCs w:val="28"/>
        </w:rPr>
        <w:t>SE</w:t>
      </w:r>
      <w:r w:rsidRPr="001F7687">
        <w:rPr>
          <w:sz w:val="28"/>
          <w:szCs w:val="28"/>
        </w:rPr>
        <w:t xml:space="preserve"> puisse : analyser les critères de cotation des emplois non repérés, comparer avec les emplois repères </w:t>
      </w:r>
      <w:r w:rsidRPr="00155AA8">
        <w:rPr>
          <w:sz w:val="28"/>
          <w:szCs w:val="28"/>
        </w:rPr>
        <w:t>or</w:t>
      </w:r>
      <w:r w:rsidR="007E3A12" w:rsidRPr="00155AA8">
        <w:rPr>
          <w:sz w:val="28"/>
          <w:szCs w:val="28"/>
        </w:rPr>
        <w:t xml:space="preserve"> ces documents n’ont pas été fournis</w:t>
      </w:r>
      <w:r w:rsidRPr="00155AA8">
        <w:rPr>
          <w:sz w:val="28"/>
          <w:szCs w:val="28"/>
        </w:rPr>
        <w:t xml:space="preserve"> ;</w:t>
      </w:r>
    </w:p>
    <w:p w14:paraId="32104A1C" w14:textId="2FB147C6" w:rsidR="001F7687" w:rsidRDefault="001F7687" w:rsidP="006F5EF7">
      <w:pPr>
        <w:pStyle w:val="Paragraphedeliste"/>
        <w:numPr>
          <w:ilvl w:val="0"/>
          <w:numId w:val="2"/>
        </w:numPr>
        <w:spacing w:before="240" w:after="0" w:line="240" w:lineRule="auto"/>
        <w:jc w:val="both"/>
        <w:rPr>
          <w:sz w:val="28"/>
          <w:szCs w:val="28"/>
        </w:rPr>
      </w:pPr>
      <w:r w:rsidRPr="001F7687">
        <w:rPr>
          <w:sz w:val="28"/>
          <w:szCs w:val="28"/>
        </w:rPr>
        <w:t xml:space="preserve">La RMPP a elle seule ne pourra revoir l'ensemble de ces </w:t>
      </w:r>
      <w:r>
        <w:rPr>
          <w:sz w:val="28"/>
          <w:szCs w:val="28"/>
        </w:rPr>
        <w:t>situations </w:t>
      </w:r>
      <w:r w:rsidR="00155AA8">
        <w:rPr>
          <w:sz w:val="28"/>
          <w:szCs w:val="28"/>
        </w:rPr>
        <w:t xml:space="preserve">du moins dans des délais raisonnables </w:t>
      </w:r>
      <w:r>
        <w:rPr>
          <w:sz w:val="28"/>
          <w:szCs w:val="28"/>
        </w:rPr>
        <w:t>;</w:t>
      </w:r>
    </w:p>
    <w:p w14:paraId="6B47B0DB" w14:textId="4B61069C" w:rsidR="00330600" w:rsidRDefault="00330600" w:rsidP="006F5EF7">
      <w:pPr>
        <w:pStyle w:val="Paragraphedeliste"/>
        <w:numPr>
          <w:ilvl w:val="0"/>
          <w:numId w:val="2"/>
        </w:numPr>
        <w:spacing w:before="24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L’ensemble des éléments réclamés n’a pas été produit</w:t>
      </w:r>
      <w:r w:rsidR="00B80A60">
        <w:rPr>
          <w:sz w:val="28"/>
          <w:szCs w:val="28"/>
        </w:rPr>
        <w:t>.</w:t>
      </w:r>
    </w:p>
    <w:p w14:paraId="78F2EA1E" w14:textId="097FC426" w:rsidR="006F5EF7" w:rsidRDefault="006F5E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594AD71" w14:textId="77777777" w:rsidR="00B80A60" w:rsidRPr="00B80A60" w:rsidRDefault="00B80A60" w:rsidP="00B80A60">
      <w:pPr>
        <w:spacing w:after="0" w:line="240" w:lineRule="auto"/>
        <w:ind w:left="708"/>
        <w:jc w:val="both"/>
        <w:rPr>
          <w:sz w:val="28"/>
          <w:szCs w:val="28"/>
        </w:rPr>
      </w:pPr>
    </w:p>
    <w:p w14:paraId="11789AF9" w14:textId="1D71E2A8" w:rsidR="00155AA8" w:rsidRDefault="006F5EF7" w:rsidP="00E83C4D">
      <w:pPr>
        <w:spacing w:after="0" w:line="24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Par ailleurs, e</w:t>
      </w:r>
      <w:r w:rsidR="00155AA8" w:rsidRPr="00B80A60">
        <w:rPr>
          <w:sz w:val="28"/>
          <w:szCs w:val="28"/>
        </w:rPr>
        <w:t xml:space="preserve">n ce qui concerne spécifiquement la classification des agents de direction, </w:t>
      </w:r>
      <w:r>
        <w:rPr>
          <w:sz w:val="28"/>
          <w:szCs w:val="28"/>
        </w:rPr>
        <w:t>le CSE considère que le</w:t>
      </w:r>
      <w:r w:rsidR="00553846">
        <w:rPr>
          <w:sz w:val="28"/>
          <w:szCs w:val="28"/>
        </w:rPr>
        <w:t xml:space="preserve"> seul</w:t>
      </w:r>
      <w:r>
        <w:rPr>
          <w:sz w:val="28"/>
          <w:szCs w:val="28"/>
        </w:rPr>
        <w:t xml:space="preserve"> éléments produit</w:t>
      </w:r>
      <w:r w:rsidR="00553846">
        <w:rPr>
          <w:sz w:val="28"/>
          <w:szCs w:val="28"/>
        </w:rPr>
        <w:t xml:space="preserve"> (l’accord)</w:t>
      </w:r>
      <w:r>
        <w:rPr>
          <w:sz w:val="28"/>
          <w:szCs w:val="28"/>
        </w:rPr>
        <w:t xml:space="preserve"> </w:t>
      </w:r>
      <w:r w:rsidR="00553846">
        <w:rPr>
          <w:sz w:val="28"/>
          <w:szCs w:val="28"/>
        </w:rPr>
        <w:t>es</w:t>
      </w:r>
      <w:r>
        <w:rPr>
          <w:sz w:val="28"/>
          <w:szCs w:val="28"/>
        </w:rPr>
        <w:t>t insuffisant</w:t>
      </w:r>
      <w:r w:rsidR="00155AA8" w:rsidRPr="00B80A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et ne permet pas de </w:t>
      </w:r>
      <w:r w:rsidR="00155AA8" w:rsidRPr="00B80A60">
        <w:rPr>
          <w:sz w:val="28"/>
          <w:szCs w:val="28"/>
        </w:rPr>
        <w:t>rendre un avis éclairé</w:t>
      </w:r>
      <w:r>
        <w:rPr>
          <w:sz w:val="28"/>
          <w:szCs w:val="28"/>
        </w:rPr>
        <w:t>.</w:t>
      </w:r>
    </w:p>
    <w:p w14:paraId="58900584" w14:textId="77777777" w:rsidR="00E83C4D" w:rsidRPr="00B80A60" w:rsidRDefault="00E83C4D" w:rsidP="00E83C4D">
      <w:pPr>
        <w:spacing w:after="0" w:line="240" w:lineRule="auto"/>
        <w:ind w:left="426"/>
        <w:jc w:val="both"/>
        <w:rPr>
          <w:sz w:val="28"/>
          <w:szCs w:val="28"/>
        </w:rPr>
      </w:pPr>
    </w:p>
    <w:p w14:paraId="03C54AAF" w14:textId="4D2EB25B" w:rsidR="005460EE" w:rsidRDefault="005460EE" w:rsidP="00E83C4D">
      <w:pPr>
        <w:pStyle w:val="NormalWeb"/>
        <w:spacing w:after="0"/>
        <w:ind w:left="426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Les élus reconnaissent néanmoins :</w:t>
      </w:r>
    </w:p>
    <w:p w14:paraId="45EB8E22" w14:textId="77777777" w:rsidR="00E83C4D" w:rsidRDefault="00E83C4D" w:rsidP="00E83C4D">
      <w:pPr>
        <w:pStyle w:val="NormalWeb"/>
        <w:spacing w:after="0"/>
        <w:ind w:left="426"/>
        <w:jc w:val="both"/>
        <w:rPr>
          <w:rFonts w:ascii="Calibri" w:hAnsi="Calibri"/>
          <w:sz w:val="28"/>
          <w:szCs w:val="28"/>
        </w:rPr>
      </w:pPr>
    </w:p>
    <w:p w14:paraId="14F23FFD" w14:textId="46C4B499" w:rsidR="005460EE" w:rsidRPr="00A766EE" w:rsidRDefault="001F7687" w:rsidP="006F5EF7">
      <w:pPr>
        <w:pStyle w:val="Paragraphedeliste"/>
        <w:numPr>
          <w:ilvl w:val="0"/>
          <w:numId w:val="2"/>
        </w:numPr>
        <w:spacing w:before="240" w:after="0" w:line="240" w:lineRule="auto"/>
        <w:jc w:val="both"/>
        <w:rPr>
          <w:rFonts w:eastAsia="Times New Roman"/>
          <w:sz w:val="28"/>
          <w:szCs w:val="28"/>
          <w:lang w:eastAsia="fr-FR"/>
        </w:rPr>
      </w:pPr>
      <w:r>
        <w:rPr>
          <w:rFonts w:eastAsia="Times New Roman"/>
          <w:sz w:val="28"/>
          <w:szCs w:val="28"/>
          <w:lang w:eastAsia="fr-FR"/>
        </w:rPr>
        <w:t>Que les emplois repérés ont bien intégré le niveau normé par le national</w:t>
      </w:r>
      <w:r w:rsidR="005460EE" w:rsidRPr="00A766EE">
        <w:rPr>
          <w:rFonts w:eastAsia="Times New Roman"/>
          <w:sz w:val="28"/>
          <w:szCs w:val="28"/>
          <w:lang w:eastAsia="fr-FR"/>
        </w:rPr>
        <w:t xml:space="preserve"> ; </w:t>
      </w:r>
    </w:p>
    <w:p w14:paraId="2C8D954B" w14:textId="2C85BC54" w:rsidR="005460EE" w:rsidRPr="00A766EE" w:rsidRDefault="001F7687" w:rsidP="006F5EF7">
      <w:pPr>
        <w:pStyle w:val="Paragraphedeliste"/>
        <w:numPr>
          <w:ilvl w:val="0"/>
          <w:numId w:val="2"/>
        </w:numPr>
        <w:spacing w:before="240" w:after="0" w:line="240" w:lineRule="auto"/>
        <w:jc w:val="both"/>
        <w:rPr>
          <w:rFonts w:eastAsia="Times New Roman"/>
          <w:sz w:val="28"/>
          <w:szCs w:val="28"/>
          <w:lang w:eastAsia="fr-FR"/>
        </w:rPr>
      </w:pPr>
      <w:r>
        <w:rPr>
          <w:rFonts w:eastAsia="Times New Roman"/>
          <w:sz w:val="28"/>
          <w:szCs w:val="28"/>
          <w:lang w:eastAsia="fr-FR"/>
        </w:rPr>
        <w:t>Que les documents ont été adressé</w:t>
      </w:r>
      <w:r w:rsidR="007E3A12">
        <w:rPr>
          <w:rFonts w:eastAsia="Times New Roman"/>
          <w:sz w:val="28"/>
          <w:szCs w:val="28"/>
          <w:lang w:eastAsia="fr-FR"/>
        </w:rPr>
        <w:t>s</w:t>
      </w:r>
      <w:r>
        <w:rPr>
          <w:rFonts w:eastAsia="Times New Roman"/>
          <w:sz w:val="28"/>
          <w:szCs w:val="28"/>
          <w:lang w:eastAsia="fr-FR"/>
        </w:rPr>
        <w:t xml:space="preserve"> avant la réunion même si certains</w:t>
      </w:r>
      <w:r w:rsidR="007E3A12">
        <w:rPr>
          <w:rFonts w:eastAsia="Times New Roman"/>
          <w:sz w:val="28"/>
          <w:szCs w:val="28"/>
          <w:lang w:eastAsia="fr-FR"/>
        </w:rPr>
        <w:t xml:space="preserve"> -</w:t>
      </w:r>
      <w:r>
        <w:rPr>
          <w:rFonts w:eastAsia="Times New Roman"/>
          <w:sz w:val="28"/>
          <w:szCs w:val="28"/>
          <w:lang w:eastAsia="fr-FR"/>
        </w:rPr>
        <w:t xml:space="preserve"> adressés pendant les vacances </w:t>
      </w:r>
      <w:r w:rsidR="007E3A12">
        <w:rPr>
          <w:rFonts w:eastAsia="Times New Roman"/>
          <w:sz w:val="28"/>
          <w:szCs w:val="28"/>
          <w:lang w:eastAsia="fr-FR"/>
        </w:rPr>
        <w:t xml:space="preserve">- </w:t>
      </w:r>
      <w:r>
        <w:rPr>
          <w:rFonts w:eastAsia="Times New Roman"/>
          <w:sz w:val="28"/>
          <w:szCs w:val="28"/>
          <w:lang w:eastAsia="fr-FR"/>
        </w:rPr>
        <w:t>n’ont pas permis une prise en compte optimale</w:t>
      </w:r>
      <w:r w:rsidR="00330600">
        <w:rPr>
          <w:rFonts w:eastAsia="Times New Roman"/>
          <w:sz w:val="28"/>
          <w:szCs w:val="28"/>
          <w:lang w:eastAsia="fr-FR"/>
        </w:rPr>
        <w:t>.</w:t>
      </w:r>
    </w:p>
    <w:p w14:paraId="4C108AAA" w14:textId="77777777" w:rsidR="00634BF2" w:rsidRDefault="00634BF2" w:rsidP="008802B1">
      <w:pPr>
        <w:spacing w:after="160" w:line="259" w:lineRule="auto"/>
        <w:jc w:val="right"/>
        <w:rPr>
          <w:sz w:val="28"/>
          <w:szCs w:val="28"/>
        </w:rPr>
      </w:pPr>
    </w:p>
    <w:p w14:paraId="695F7CFF" w14:textId="77777777" w:rsidR="00E83C4D" w:rsidRDefault="00E83C4D" w:rsidP="008802B1">
      <w:pPr>
        <w:spacing w:after="160" w:line="259" w:lineRule="auto"/>
        <w:jc w:val="right"/>
        <w:rPr>
          <w:sz w:val="28"/>
          <w:szCs w:val="28"/>
        </w:rPr>
      </w:pPr>
    </w:p>
    <w:p w14:paraId="53E5D412" w14:textId="77777777" w:rsidR="00E83C4D" w:rsidRDefault="00E83C4D" w:rsidP="008802B1">
      <w:pPr>
        <w:spacing w:after="160" w:line="259" w:lineRule="auto"/>
        <w:jc w:val="right"/>
        <w:rPr>
          <w:sz w:val="28"/>
          <w:szCs w:val="28"/>
        </w:rPr>
      </w:pPr>
    </w:p>
    <w:p w14:paraId="526CBBF4" w14:textId="564EDEF5" w:rsidR="00651127" w:rsidRDefault="00560AF9" w:rsidP="00560AF9">
      <w:pPr>
        <w:spacing w:after="16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r w:rsidR="006F5EF7">
        <w:rPr>
          <w:sz w:val="28"/>
          <w:szCs w:val="28"/>
        </w:rPr>
        <w:t>21</w:t>
      </w:r>
      <w:r w:rsidR="00651127">
        <w:rPr>
          <w:sz w:val="28"/>
          <w:szCs w:val="28"/>
        </w:rPr>
        <w:t>-0</w:t>
      </w:r>
      <w:r w:rsidR="00522E55">
        <w:rPr>
          <w:sz w:val="28"/>
          <w:szCs w:val="28"/>
        </w:rPr>
        <w:t>5</w:t>
      </w:r>
      <w:r w:rsidR="00651127">
        <w:rPr>
          <w:sz w:val="28"/>
          <w:szCs w:val="28"/>
        </w:rPr>
        <w:t>-2025</w:t>
      </w:r>
    </w:p>
    <w:p w14:paraId="3CDDE605" w14:textId="77777777" w:rsidR="007E3A12" w:rsidRDefault="007E3A12" w:rsidP="00560AF9">
      <w:pPr>
        <w:spacing w:after="160" w:line="259" w:lineRule="auto"/>
        <w:jc w:val="right"/>
        <w:rPr>
          <w:sz w:val="28"/>
          <w:szCs w:val="28"/>
        </w:rPr>
      </w:pPr>
    </w:p>
    <w:p w14:paraId="28CBE11D" w14:textId="77777777" w:rsidR="007E3A12" w:rsidRDefault="007E3A12" w:rsidP="00560AF9">
      <w:pPr>
        <w:spacing w:after="160" w:line="259" w:lineRule="auto"/>
        <w:jc w:val="right"/>
        <w:rPr>
          <w:sz w:val="28"/>
          <w:szCs w:val="28"/>
        </w:rPr>
      </w:pPr>
    </w:p>
    <w:p w14:paraId="66B28D2E" w14:textId="77777777" w:rsidR="007E3A12" w:rsidRDefault="007E3A12" w:rsidP="00560AF9">
      <w:pPr>
        <w:spacing w:after="160" w:line="259" w:lineRule="auto"/>
        <w:jc w:val="right"/>
        <w:rPr>
          <w:sz w:val="28"/>
          <w:szCs w:val="28"/>
        </w:rPr>
      </w:pPr>
    </w:p>
    <w:p w14:paraId="0838BD79" w14:textId="77777777" w:rsidR="007E3A12" w:rsidRDefault="007E3A12" w:rsidP="00560AF9">
      <w:pPr>
        <w:spacing w:after="160" w:line="259" w:lineRule="auto"/>
        <w:jc w:val="right"/>
        <w:rPr>
          <w:sz w:val="28"/>
          <w:szCs w:val="28"/>
        </w:rPr>
      </w:pPr>
    </w:p>
    <w:p w14:paraId="6603E2F9" w14:textId="77777777" w:rsidR="007E3A12" w:rsidRDefault="007E3A12" w:rsidP="00560AF9">
      <w:pPr>
        <w:spacing w:after="160" w:line="259" w:lineRule="auto"/>
        <w:jc w:val="right"/>
        <w:rPr>
          <w:sz w:val="28"/>
          <w:szCs w:val="28"/>
        </w:rPr>
      </w:pPr>
    </w:p>
    <w:p w14:paraId="08702FDD" w14:textId="77777777" w:rsidR="007E3A12" w:rsidRPr="00040B2F" w:rsidRDefault="007E3A12" w:rsidP="00560AF9">
      <w:pPr>
        <w:spacing w:after="160" w:line="259" w:lineRule="auto"/>
        <w:jc w:val="right"/>
        <w:rPr>
          <w:sz w:val="28"/>
          <w:szCs w:val="28"/>
        </w:rPr>
      </w:pPr>
    </w:p>
    <w:sectPr w:rsidR="007E3A12" w:rsidRPr="00040B2F" w:rsidSect="00B42916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75A6"/>
    <w:multiLevelType w:val="hybridMultilevel"/>
    <w:tmpl w:val="CA584998"/>
    <w:lvl w:ilvl="0" w:tplc="2D84A14E"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51E382D"/>
    <w:multiLevelType w:val="hybridMultilevel"/>
    <w:tmpl w:val="A41C76F2"/>
    <w:lvl w:ilvl="0" w:tplc="B19055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D127A4"/>
    <w:multiLevelType w:val="hybridMultilevel"/>
    <w:tmpl w:val="938E17DC"/>
    <w:lvl w:ilvl="0" w:tplc="F32C99C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70AB0"/>
    <w:multiLevelType w:val="hybridMultilevel"/>
    <w:tmpl w:val="9432C9EA"/>
    <w:lvl w:ilvl="0" w:tplc="214253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A6137"/>
    <w:multiLevelType w:val="hybridMultilevel"/>
    <w:tmpl w:val="B5367D28"/>
    <w:lvl w:ilvl="0" w:tplc="811217A6"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7B350599"/>
    <w:multiLevelType w:val="hybridMultilevel"/>
    <w:tmpl w:val="9DDA5408"/>
    <w:lvl w:ilvl="0" w:tplc="494080A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98702147">
    <w:abstractNumId w:val="3"/>
  </w:num>
  <w:num w:numId="2" w16cid:durableId="922882041">
    <w:abstractNumId w:val="1"/>
  </w:num>
  <w:num w:numId="3" w16cid:durableId="2093507807">
    <w:abstractNumId w:val="5"/>
  </w:num>
  <w:num w:numId="4" w16cid:durableId="1062022952">
    <w:abstractNumId w:val="4"/>
  </w:num>
  <w:num w:numId="5" w16cid:durableId="709844358">
    <w:abstractNumId w:val="0"/>
  </w:num>
  <w:num w:numId="6" w16cid:durableId="1587108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05"/>
    <w:rsid w:val="000305CB"/>
    <w:rsid w:val="00037D58"/>
    <w:rsid w:val="00040B2F"/>
    <w:rsid w:val="00050AC0"/>
    <w:rsid w:val="00066DBD"/>
    <w:rsid w:val="00072C1C"/>
    <w:rsid w:val="0008156C"/>
    <w:rsid w:val="00084A33"/>
    <w:rsid w:val="001428E6"/>
    <w:rsid w:val="00151CB2"/>
    <w:rsid w:val="00155AA8"/>
    <w:rsid w:val="00163C5B"/>
    <w:rsid w:val="00177DE0"/>
    <w:rsid w:val="001A0FB7"/>
    <w:rsid w:val="001B0768"/>
    <w:rsid w:val="001F7687"/>
    <w:rsid w:val="002230FD"/>
    <w:rsid w:val="002358F8"/>
    <w:rsid w:val="002803D0"/>
    <w:rsid w:val="00281571"/>
    <w:rsid w:val="002A4B22"/>
    <w:rsid w:val="002D3176"/>
    <w:rsid w:val="002F49F9"/>
    <w:rsid w:val="00330600"/>
    <w:rsid w:val="00343CC8"/>
    <w:rsid w:val="003460C5"/>
    <w:rsid w:val="00351427"/>
    <w:rsid w:val="00352A96"/>
    <w:rsid w:val="00363D58"/>
    <w:rsid w:val="00366978"/>
    <w:rsid w:val="00367454"/>
    <w:rsid w:val="00367FAC"/>
    <w:rsid w:val="0037150E"/>
    <w:rsid w:val="003809DB"/>
    <w:rsid w:val="003B794D"/>
    <w:rsid w:val="003C437A"/>
    <w:rsid w:val="003D73BA"/>
    <w:rsid w:val="003F09A7"/>
    <w:rsid w:val="00407E19"/>
    <w:rsid w:val="00441853"/>
    <w:rsid w:val="004846CC"/>
    <w:rsid w:val="00494EBD"/>
    <w:rsid w:val="004958ED"/>
    <w:rsid w:val="004F58E7"/>
    <w:rsid w:val="004F69C5"/>
    <w:rsid w:val="00522E55"/>
    <w:rsid w:val="00525798"/>
    <w:rsid w:val="005460EE"/>
    <w:rsid w:val="00553846"/>
    <w:rsid w:val="00560AF9"/>
    <w:rsid w:val="00573FB6"/>
    <w:rsid w:val="00590407"/>
    <w:rsid w:val="005B18BC"/>
    <w:rsid w:val="005B6F15"/>
    <w:rsid w:val="00613FB9"/>
    <w:rsid w:val="00616C3E"/>
    <w:rsid w:val="00624F50"/>
    <w:rsid w:val="00634BF2"/>
    <w:rsid w:val="006442EE"/>
    <w:rsid w:val="00646E26"/>
    <w:rsid w:val="00651127"/>
    <w:rsid w:val="00661E2A"/>
    <w:rsid w:val="00670EBE"/>
    <w:rsid w:val="00676A77"/>
    <w:rsid w:val="006B06ED"/>
    <w:rsid w:val="006C53FE"/>
    <w:rsid w:val="006F5EF7"/>
    <w:rsid w:val="00704B22"/>
    <w:rsid w:val="00714861"/>
    <w:rsid w:val="00724570"/>
    <w:rsid w:val="0074666D"/>
    <w:rsid w:val="00753ECB"/>
    <w:rsid w:val="00771BDC"/>
    <w:rsid w:val="007909F3"/>
    <w:rsid w:val="00797ADE"/>
    <w:rsid w:val="007B2228"/>
    <w:rsid w:val="007D22DD"/>
    <w:rsid w:val="007D64DD"/>
    <w:rsid w:val="007E3A12"/>
    <w:rsid w:val="0081104B"/>
    <w:rsid w:val="00850AE4"/>
    <w:rsid w:val="00855AAB"/>
    <w:rsid w:val="0087632F"/>
    <w:rsid w:val="008774E1"/>
    <w:rsid w:val="008802B1"/>
    <w:rsid w:val="00881459"/>
    <w:rsid w:val="00884910"/>
    <w:rsid w:val="008854DF"/>
    <w:rsid w:val="008B6741"/>
    <w:rsid w:val="008C0596"/>
    <w:rsid w:val="008F2425"/>
    <w:rsid w:val="0093627C"/>
    <w:rsid w:val="00957B75"/>
    <w:rsid w:val="00961F29"/>
    <w:rsid w:val="00966DC9"/>
    <w:rsid w:val="0097584A"/>
    <w:rsid w:val="00981C70"/>
    <w:rsid w:val="00995960"/>
    <w:rsid w:val="009C379D"/>
    <w:rsid w:val="009C44D5"/>
    <w:rsid w:val="009D3C18"/>
    <w:rsid w:val="009F066C"/>
    <w:rsid w:val="009F424C"/>
    <w:rsid w:val="00A15C53"/>
    <w:rsid w:val="00A2760F"/>
    <w:rsid w:val="00A51E84"/>
    <w:rsid w:val="00A62C87"/>
    <w:rsid w:val="00A766EE"/>
    <w:rsid w:val="00A82EC8"/>
    <w:rsid w:val="00A838F0"/>
    <w:rsid w:val="00AA5AA6"/>
    <w:rsid w:val="00AA6AFA"/>
    <w:rsid w:val="00AC57F1"/>
    <w:rsid w:val="00AD1E86"/>
    <w:rsid w:val="00AF584E"/>
    <w:rsid w:val="00AF6D22"/>
    <w:rsid w:val="00B01405"/>
    <w:rsid w:val="00B1071F"/>
    <w:rsid w:val="00B12815"/>
    <w:rsid w:val="00B154BC"/>
    <w:rsid w:val="00B424C8"/>
    <w:rsid w:val="00B42916"/>
    <w:rsid w:val="00B61DDD"/>
    <w:rsid w:val="00B62EEF"/>
    <w:rsid w:val="00B801DC"/>
    <w:rsid w:val="00B80A60"/>
    <w:rsid w:val="00B8475E"/>
    <w:rsid w:val="00B85902"/>
    <w:rsid w:val="00B964BB"/>
    <w:rsid w:val="00BB3F38"/>
    <w:rsid w:val="00BB6C3C"/>
    <w:rsid w:val="00BC65F0"/>
    <w:rsid w:val="00BD2087"/>
    <w:rsid w:val="00C1035C"/>
    <w:rsid w:val="00C22395"/>
    <w:rsid w:val="00C22F7A"/>
    <w:rsid w:val="00C238E2"/>
    <w:rsid w:val="00C40414"/>
    <w:rsid w:val="00C44723"/>
    <w:rsid w:val="00C47973"/>
    <w:rsid w:val="00C60898"/>
    <w:rsid w:val="00C66667"/>
    <w:rsid w:val="00C672C7"/>
    <w:rsid w:val="00CC7866"/>
    <w:rsid w:val="00CE5D24"/>
    <w:rsid w:val="00CF0AA0"/>
    <w:rsid w:val="00D15B56"/>
    <w:rsid w:val="00D4030F"/>
    <w:rsid w:val="00DA5A70"/>
    <w:rsid w:val="00DB18E9"/>
    <w:rsid w:val="00DE4910"/>
    <w:rsid w:val="00E64741"/>
    <w:rsid w:val="00E80171"/>
    <w:rsid w:val="00E83C4D"/>
    <w:rsid w:val="00E90117"/>
    <w:rsid w:val="00E90846"/>
    <w:rsid w:val="00F05677"/>
    <w:rsid w:val="00F37585"/>
    <w:rsid w:val="00F4185E"/>
    <w:rsid w:val="00F431AC"/>
    <w:rsid w:val="00F53B7E"/>
    <w:rsid w:val="00F923E5"/>
    <w:rsid w:val="00FA096B"/>
    <w:rsid w:val="00FB7551"/>
    <w:rsid w:val="00FD4764"/>
    <w:rsid w:val="00FE7573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5869"/>
  <w15:chartTrackingRefBased/>
  <w15:docId w15:val="{B0853C70-63AE-4D4F-8B0A-42706A24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140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uiPriority w:val="22"/>
    <w:qFormat/>
    <w:rsid w:val="0097584A"/>
    <w:rPr>
      <w:b/>
      <w:bCs/>
    </w:rPr>
  </w:style>
  <w:style w:type="paragraph" w:styleId="Paragraphedeliste">
    <w:name w:val="List Paragraph"/>
    <w:basedOn w:val="Normal"/>
    <w:uiPriority w:val="34"/>
    <w:qFormat/>
    <w:rsid w:val="007909F3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0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96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E27F7C03D6C46B093AE6B8C342B3A" ma:contentTypeVersion="12" ma:contentTypeDescription="Crée un document." ma:contentTypeScope="" ma:versionID="5155fdf0be08218a8f4f2baf5c945bee">
  <xsd:schema xmlns:xsd="http://www.w3.org/2001/XMLSchema" xmlns:xs="http://www.w3.org/2001/XMLSchema" xmlns:p="http://schemas.microsoft.com/office/2006/metadata/properties" xmlns:ns2="e68b7269-7a16-4eab-86ad-a3d3585f86da" xmlns:ns3="3972de9b-3ad9-4991-a252-a4297829d798" targetNamespace="http://schemas.microsoft.com/office/2006/metadata/properties" ma:root="true" ma:fieldsID="92ef5eeb0c210a967f24e4ddcaa7bdf3" ns2:_="" ns3:_="">
    <xsd:import namespace="e68b7269-7a16-4eab-86ad-a3d3585f86da"/>
    <xsd:import namespace="3972de9b-3ad9-4991-a252-a4297829d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b7269-7a16-4eab-86ad-a3d3585f8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2de9b-3ad9-4991-a252-a4297829d7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cca8-8519-41e5-a90c-dc693fbfc1cd}" ma:internalName="TaxCatchAll" ma:showField="CatchAllData" ma:web="3972de9b-3ad9-4991-a252-a4297829d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2de9b-3ad9-4991-a252-a4297829d798" xsi:nil="true"/>
    <lcf76f155ced4ddcb4097134ff3c332f xmlns="e68b7269-7a16-4eab-86ad-a3d3585f86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D2CAF1-472E-404A-AB75-BA812C012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b7269-7a16-4eab-86ad-a3d3585f86da"/>
    <ds:schemaRef ds:uri="3972de9b-3ad9-4991-a252-a4297829d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87C91-D173-415A-8639-A4DD42630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1260B-052C-4199-8E8E-A4133A19FB5C}">
  <ds:schemaRefs>
    <ds:schemaRef ds:uri="http://schemas.microsoft.com/office/2006/metadata/properties"/>
    <ds:schemaRef ds:uri="http://schemas.microsoft.com/office/infopath/2007/PartnerControls"/>
    <ds:schemaRef ds:uri="3972de9b-3ad9-4991-a252-a4297829d798"/>
    <ds:schemaRef ds:uri="e68b7269-7a16-4eab-86ad-a3d3585f86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PAS-DE-CALAIS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FOURNIER-DEZOOMER 623</dc:creator>
  <cp:keywords/>
  <dc:description/>
  <cp:lastModifiedBy>Samuel TOMASI 623</cp:lastModifiedBy>
  <cp:revision>2</cp:revision>
  <cp:lastPrinted>2020-11-09T07:31:00Z</cp:lastPrinted>
  <dcterms:created xsi:type="dcterms:W3CDTF">2025-05-22T06:56:00Z</dcterms:created>
  <dcterms:modified xsi:type="dcterms:W3CDTF">2025-05-22T06:56:00Z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0x010100B98E27F7C03D6C46B093AE6B8C342B3A</vt:lpwstr>
  </property>
</Properties>
</file>